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DF3" w:rsidRDefault="006D147A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3B2DF3" w:rsidRDefault="006D147A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3B2DF3" w:rsidRDefault="006D147A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i/>
          <w:smallCaps/>
          <w:sz w:val="24"/>
          <w:szCs w:val="24"/>
        </w:rPr>
        <w:t>.</w:t>
      </w:r>
      <w:r w:rsidR="007A4793">
        <w:rPr>
          <w:rFonts w:ascii="Corbel" w:hAnsi="Corbel" w:cs="Corbel"/>
          <w:i/>
          <w:smallCaps/>
          <w:sz w:val="24"/>
          <w:szCs w:val="24"/>
        </w:rPr>
        <w:t>2024-2027</w:t>
      </w:r>
      <w:r>
        <w:rPr>
          <w:rFonts w:ascii="Corbel" w:hAnsi="Corbel" w:cs="Corbel"/>
          <w:i/>
          <w:smallCaps/>
          <w:sz w:val="24"/>
          <w:szCs w:val="24"/>
        </w:rPr>
        <w:t>..........................</w:t>
      </w:r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:rsidR="003B2DF3" w:rsidRDefault="006D147A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3B2DF3" w:rsidRDefault="007A4793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2024/5</w:t>
      </w:r>
    </w:p>
    <w:p w:rsidR="003B2DF3" w:rsidRDefault="003B2DF3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 w:rsidP="003521E8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Corbel" w:eastAsia="Arial" w:hAnsi="Corbel" w:cs="Corbel"/>
                <w:sz w:val="20"/>
                <w:szCs w:val="24"/>
              </w:rPr>
              <w:t xml:space="preserve">Wprowadzenie  do </w:t>
            </w:r>
            <w:r w:rsidR="003521E8">
              <w:rPr>
                <w:rFonts w:ascii="Corbel" w:eastAsia="Arial" w:hAnsi="Corbel" w:cs="Corbel"/>
                <w:sz w:val="20"/>
                <w:szCs w:val="24"/>
              </w:rPr>
              <w:t>badań nad</w:t>
            </w:r>
            <w:r>
              <w:rPr>
                <w:rFonts w:ascii="Corbel" w:eastAsia="Arial" w:hAnsi="Corbel" w:cs="Corbel"/>
                <w:sz w:val="20"/>
                <w:szCs w:val="24"/>
              </w:rPr>
              <w:t xml:space="preserve"> komunikacj</w:t>
            </w:r>
            <w:r w:rsidR="003521E8">
              <w:rPr>
                <w:rFonts w:ascii="Corbel" w:eastAsia="Arial" w:hAnsi="Corbel" w:cs="Corbel"/>
                <w:sz w:val="20"/>
                <w:szCs w:val="24"/>
              </w:rPr>
              <w:t>ą</w:t>
            </w:r>
            <w:r>
              <w:rPr>
                <w:rFonts w:ascii="Corbel" w:eastAsia="Arial" w:hAnsi="Corbel" w:cs="Corbel"/>
                <w:sz w:val="20"/>
                <w:szCs w:val="24"/>
              </w:rPr>
              <w:t xml:space="preserve"> międzykulturow</w:t>
            </w:r>
            <w:r w:rsidR="003521E8">
              <w:rPr>
                <w:rFonts w:ascii="Corbel" w:eastAsia="Arial" w:hAnsi="Corbel" w:cs="Corbel"/>
                <w:sz w:val="20"/>
                <w:szCs w:val="24"/>
              </w:rPr>
              <w:t>ą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7A4793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7A4793"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Filozofii/Zakład Filozofii Człowieka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7A4793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0D6880" w:rsidP="000D6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  <w:bookmarkStart w:id="0" w:name="_GoBack"/>
            <w:bookmarkEnd w:id="0"/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B2DF3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3B2DF3" w:rsidRDefault="006D147A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B2DF3" w:rsidRDefault="003B2DF3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B2DF3" w:rsidRDefault="003B2DF3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B2DF3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B2DF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B2DF3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B2DF3" w:rsidRDefault="003B2DF3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B2DF3" w:rsidRDefault="003B2DF3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B2DF3" w:rsidRDefault="006D147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B2DF3" w:rsidRDefault="006D147A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B2DF3" w:rsidRDefault="006D147A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3B2DF3" w:rsidRDefault="003B2DF3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3B2DF3" w:rsidRDefault="006D147A">
            <w:pPr>
              <w:widowControl w:val="0"/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zalecana: znajomośc języka angielskiego na poziomie B1-2 (reading, listening, understanding)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B2DF3" w:rsidRDefault="006D147A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3B2DF3" w:rsidRDefault="003B2DF3">
      <w:pPr>
        <w:pStyle w:val="Podpunkty"/>
        <w:rPr>
          <w:rFonts w:ascii="Corbel" w:hAnsi="Corbel" w:cs="Corbel"/>
          <w:sz w:val="24"/>
          <w:szCs w:val="24"/>
        </w:rPr>
      </w:pPr>
    </w:p>
    <w:p w:rsidR="003B2DF3" w:rsidRDefault="003B2DF3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3B2DF3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Tekstpodstawowy"/>
              <w:widowControl w:val="0"/>
              <w:snapToGrid w:val="0"/>
              <w:spacing w:after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;sans-serif" w:eastAsia="Arial CE" w:hAnsi="Arial;sans-serif" w:cs="Arial CE"/>
                <w:color w:val="000000"/>
                <w:sz w:val="20"/>
                <w:szCs w:val="20"/>
              </w:rPr>
              <w:t>Zajęcia te mają umożliwić rozumienie współczesnych przekazów kulturowych z różnych obszarów życia społecznego, zarówno na poziomie uczestnictwa w komunikacji, jak i na metapoziomie (analizy przekazu). Przedmiot ten ma uwrażliwić na rozpoznawanie schematów poznawczych i stereotypów; a także strategii komunikacyjnych.</w:t>
            </w:r>
          </w:p>
          <w:p w:rsidR="003B2DF3" w:rsidRDefault="006D147A">
            <w:pPr>
              <w:pStyle w:val="Tekstpodstawowy"/>
              <w:widowControl w:val="0"/>
              <w:spacing w:line="270" w:lineRule="atLeast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;sans-serif" w:hAnsi="Arial;sans-serif"/>
                <w:color w:val="000000"/>
                <w:sz w:val="20"/>
              </w:rPr>
              <w:t>W ramach ćwiczeń będziemy pracować równolegle w dwóch trybach: (1) analizy tekstów źródłowych i przykładów artefaktów komunikacyjnych oraz (2) pracy nad projektami indywidualnych analiz, których tematyka i zakres będzie uzgadniana indywidualnie. Dopuszczalna jest praca w grupach o ile każda z osób w grupie będzie mogła wskazać dokładnie zakres swojej odpowiedzialności za wyniki.</w:t>
            </w: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Celem finalnym jest: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dostarczenie słuchaczom narzędzi, pomagających w osiągnięciu większej transparentności komunikacyjnej;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rozpoznawanie strategii komunikacyjnych, stosowanych w różnych dziedzinach  życia społecznego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rozróżnianie treści merytorycznych i ideologicznych</w:t>
            </w:r>
          </w:p>
        </w:tc>
      </w:tr>
      <w:tr w:rsidR="003B2DF3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widowControl w:val="0"/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>rozpoznawanie technik manipoulacji, występuhjących na różnych poziomach dyskursu społecznego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</w:t>
            </w:r>
            <w:r>
              <w:rPr>
                <w:rFonts w:ascii="Arial" w:eastAsia="Arial" w:hAnsi="Arial" w:cs="Arial"/>
                <w:sz w:val="20"/>
                <w:szCs w:val="20"/>
              </w:rPr>
              <w:t>umiejętność czytelnego ich przekazu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B2DF3" w:rsidRDefault="006D147A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3B2DF3" w:rsidRDefault="003B2DF3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ma uporządkowaną wiedzę podstawową z zakresu bloków i zagadnień dotyczących komunikacji międzykulturowej:   wiedzy o kulturze, wiedzy o komunikacji, </w:t>
            </w:r>
            <w:r>
              <w:rPr>
                <w:rFonts w:eastAsia="Arial CE" w:cs="Arial CE"/>
                <w:sz w:val="20"/>
                <w:szCs w:val="20"/>
              </w:rPr>
              <w:t>elementów filozofii i krytycznego myślenia</w:t>
            </w:r>
          </w:p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podstawowych  metodach  analizy i interpretacji różnych wytworów kultury</w:t>
            </w:r>
          </w:p>
          <w:p w:rsidR="003B2DF3" w:rsidRDefault="006D147A">
            <w:pPr>
              <w:pStyle w:val="Default"/>
              <w:widowControl w:val="0"/>
              <w:spacing w:after="292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ma wiedzę o historycznych zmianach instytucji społeczno – kulturowych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K_W03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K_W06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K_W11</w:t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potrafi rozpoznać, zinterpretować i analizować krytycznie  różne rodzaje wytworów kultury i określić  ich rangę w procesie komunikacji międzykulturowej</w:t>
            </w:r>
          </w:p>
          <w:p w:rsidR="003B2DF3" w:rsidRDefault="006D147A">
            <w:pPr>
              <w:widowControl w:val="0"/>
              <w:snapToGrid w:val="0"/>
              <w:spacing w:before="240" w:after="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potrafi prezentować  podstawowe problemy związane z dziedzinami  dotyczącymi komunikacji międzykulturowej</w:t>
            </w:r>
          </w:p>
          <w:p w:rsidR="003B2DF3" w:rsidRDefault="003B2DF3">
            <w:pPr>
              <w:widowControl w:val="0"/>
              <w:snapToGrid w:val="0"/>
              <w:spacing w:before="240" w:after="0" w:line="360" w:lineRule="auto"/>
              <w:rPr>
                <w:rFonts w:eastAsia="Arial CE" w:cs="Arial CE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K_U05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3B2DF3">
            <w:pPr>
              <w:widowControl w:val="0"/>
              <w:snapToGrid w:val="0"/>
              <w:spacing w:after="0"/>
              <w:rPr>
                <w:rFonts w:eastAsia="Arial CE" w:cs="Arial CE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 w:cs="Arial CE"/>
                <w:sz w:val="20"/>
                <w:szCs w:val="20"/>
              </w:rPr>
              <w:t>K_U09</w:t>
            </w:r>
          </w:p>
        </w:tc>
      </w:tr>
      <w:tr w:rsidR="003B2DF3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Default"/>
              <w:widowControl w:val="0"/>
              <w:snapToGrid w:val="0"/>
              <w:spacing w:after="292"/>
              <w:jc w:val="both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potrafi kooperować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K__K02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3B2DF3" w:rsidRDefault="006D147A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3B2DF3" w:rsidRDefault="003B2DF3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Główne koncepcje relacji społecznych jako wymiany informacji; Związki pomiędzy tożsamością grupową a preferowanymi strategiami komunikacyjnymi;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Sposoby  kostruowania zbiorowych tożsamości: reguły odróżnoalności i </w:t>
            </w:r>
            <w:r>
              <w:rPr>
                <w:rFonts w:ascii="Arial" w:eastAsia="Arial" w:hAnsi="Arial" w:cs="Arial"/>
                <w:i/>
                <w:sz w:val="20"/>
              </w:rPr>
              <w:t>narcyzm małych różnic</w:t>
            </w:r>
            <w:r>
              <w:rPr>
                <w:rFonts w:ascii="Arial" w:eastAsia="Arial" w:hAnsi="Arial" w:cs="Arial"/>
                <w:sz w:val="20"/>
              </w:rPr>
              <w:t>;  znaczenie artefaktów dla zrozumienia procesów komunikacyjnych oraz ich ograniczeń  przez społeczne tabu 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Praktyczne metody interpretacji rozmaitych typów dyskurów i właściwej im  skuteczności przekazu (wątki symboliczne, kody ekspresyjne);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Rzeczywistość społeczna jako „teatr życia codziennego”: indywidualna i  zbiorowa autokreacja. Znaczenie elementów aracjonalnych; czynniki afektywne w procesach komunikacji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Zasady  organizowania dyskursu wewnętrznego. Znaczenie reguł ukrytych dla komunikacji kulturowej; o odróżnialności reguł ukrytych od systemów tabu;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Niezbędność mitów i symboli w procesach społecznych. Koncepcje   komunikacyjnych funkcji i  znaczenia   fantazmatów kulturowych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numPr>
                <w:ilvl w:val="0"/>
                <w:numId w:val="2"/>
              </w:numPr>
              <w:tabs>
                <w:tab w:val="left" w:pos="3229"/>
              </w:tabs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Narracje symboliczne – sztuka czytania mitów historycznych i współczesnych. Mitologie i mistyfikacje </w:t>
            </w:r>
            <w:r>
              <w:rPr>
                <w:rFonts w:ascii="Arial" w:eastAsia="Arial" w:hAnsi="Arial" w:cs="Arial"/>
                <w:sz w:val="20"/>
              </w:rPr>
              <w:lastRenderedPageBreak/>
              <w:t>konfliktów społecznych. Wypieranie i fetyszyzacja sytuacji konfliktowych.</w:t>
            </w:r>
          </w:p>
        </w:tc>
      </w:tr>
    </w:tbl>
    <w:p w:rsidR="003B2DF3" w:rsidRDefault="003B2DF3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B2DF3" w:rsidRDefault="006D147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3B2DF3" w:rsidRDefault="003B2DF3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</w:pPr>
            <w:r>
              <w:rPr>
                <w:rFonts w:ascii="Corbel" w:hAnsi="Corbel" w:cs="Corbel"/>
                <w:sz w:val="24"/>
              </w:rPr>
              <w:t>1. Opanowanie podstawowych zasad  rozpoznawania typów kultury i adekwatnych sposobów postępowania. Rozróżnianie artefaktów, ich rangi i znaczeń.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2. Podstawowe kompetencje, związane z ekspresją emocjonalną, jej znaczeniem  w różnych kulturach  i właściwych formach.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widowControl w:val="0"/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(praca z tekstem, ćwiczenia dyskursywne)</w:t>
            </w: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3B2DF3" w:rsidRDefault="006D147A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3B2DF3" w:rsidRDefault="006D147A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3B2DF3" w:rsidRDefault="006D147A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B2DF3" w:rsidRDefault="003B2DF3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30"/>
      </w:tblGrid>
      <w:tr w:rsidR="003B2DF3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:rsidR="003B2DF3" w:rsidRDefault="006D147A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3B2DF3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W/Ćw</w:t>
            </w:r>
          </w:p>
        </w:tc>
      </w:tr>
      <w:tr w:rsidR="003B2DF3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3B2DF3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B2DF3" w:rsidRDefault="003B2DF3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3B2DF3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widowControl w:val="0"/>
              <w:snapToGrid w:val="0"/>
              <w:rPr>
                <w:rFonts w:ascii="Arial" w:eastAsia="Arial" w:hAnsi="Arial" w:cs="Arial"/>
              </w:rPr>
            </w:pPr>
          </w:p>
          <w:p w:rsidR="003B2DF3" w:rsidRDefault="006D147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25% - aktywność w trakcie pracy na zajęciach</w:t>
            </w:r>
          </w:p>
          <w:p w:rsidR="003B2DF3" w:rsidRDefault="006D147A">
            <w:pPr>
              <w:spacing w:line="300" w:lineRule="atLeast"/>
              <w:rPr>
                <w:sz w:val="20"/>
                <w:szCs w:val="20"/>
              </w:rPr>
            </w:pPr>
            <w:r>
              <w:rPr>
                <w:rFonts w:ascii="Calibri;sans-serif" w:hAnsi="Calibri;sans-serif" w:cs="Calibri;sans-serif"/>
                <w:sz w:val="20"/>
                <w:szCs w:val="20"/>
              </w:rPr>
              <w:t>- branie udziału w dyskusjach (np. zgłaszanie problemów i wątpliwości)</w:t>
            </w:r>
          </w:p>
          <w:p w:rsidR="003B2DF3" w:rsidRDefault="006D147A">
            <w:pPr>
              <w:widowControl w:val="0"/>
              <w:snapToGrid w:val="0"/>
              <w:spacing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lastRenderedPageBreak/>
              <w:t>- czynny udział w pracach grupowych w klasie</w:t>
            </w:r>
          </w:p>
          <w:p w:rsidR="003B2DF3" w:rsidRDefault="006D147A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25% - zadania cząstkowe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utrzymanie zwięzłości (limit znaków)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zastosowanie w analizie wiedzy przedmiotowej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adekwatność względem materiału zadania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50% - wykonanie pracy mikroprojektowej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A) słuchacze opracowują opisy fikcyjnych społeczności funkcjonujących w określonych warunkach brzegowych – zadanie to ma na celu praktyczne zastosowanie wiedzy kulturoznawczej i wiedzy o komunikacji kulturowej (w jaki sposób taka społecznośc komunikuje się sama ze soba, jaka jest specyfika jej wizerunku własnego, jaka jest struktura komunikatów zewnętrznych, ograniczenia komunikacyjne itd.) Oceniane są: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podział zadań wewnątrz grupy i ich wykonanie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zastosowany materiał przedmiotowy (zastosowanie materiałów ponadprogramowych jest premiowane dodatkowo)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prezentacja (słuchacze mają swobodę w wyborze typu prezentacji, podstawowym sposobem ekspresji jest opracowany w grupie ‘esej autoantropologiczny’, dopuszczalne – i doceniane – są alternatywne formy prezentacji np. materiały audio, wideo, kreowane obrazy, ‘encyklopedie’ i ‘artefakty’ etc.)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B) słuchacze wykonują ‘badanie’ wcielając się indywidualnie w rolę ‘antropologa komunikacji’ badającego wybrany aspekt komunikacji kulturowej danej społeczności (opracowanej przez inną grupę)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Ocenie podlega: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utrzymanie zwięzłości (limit znaków)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zastosowanie w analizie wiedzy przedmiotowej (wybór zastosowanej teorii i metodologii, przywołana literatura przedmiotu)</w:t>
            </w: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br/>
              <w:t>- sprawność językowa opracowanego ‘raportu’</w:t>
            </w: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- logiczność i czytelność opracowania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Celem pracy nad obiektami fikcyjnymi (poza zastosowaniem gry rp jako metody dydaktycznej) jest umożliwienie słuchaczom konfrontacji z własnymi przekonaniami, nawykami komunikacyjnymi etc. w bezpiecznym, odseparowanym środowisku.</w:t>
            </w:r>
          </w:p>
          <w:p w:rsidR="003B2DF3" w:rsidRDefault="003B2DF3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</w:p>
          <w:p w:rsidR="003B2DF3" w:rsidRDefault="006D147A">
            <w:pPr>
              <w:widowControl w:val="0"/>
              <w:snapToGrid w:val="0"/>
              <w:spacing w:after="0"/>
              <w:rPr>
                <w:sz w:val="20"/>
                <w:szCs w:val="20"/>
              </w:rPr>
            </w:pPr>
            <w:r>
              <w:rPr>
                <w:rFonts w:ascii="Corbel" w:eastAsia="Arial" w:hAnsi="Corbel" w:cs="Corbel"/>
                <w:sz w:val="20"/>
                <w:szCs w:val="20"/>
              </w:rPr>
              <w:t>Istotnym elementem oceny jest ocena wzajemna (peer-review)!</w:t>
            </w:r>
          </w:p>
          <w:p w:rsidR="003B2DF3" w:rsidRDefault="003B2DF3">
            <w:pPr>
              <w:widowControl w:val="0"/>
              <w:snapToGrid w:val="0"/>
              <w:spacing w:after="0"/>
              <w:rPr>
                <w:rFonts w:ascii="Corbel" w:eastAsia="Arial" w:hAnsi="Corbel" w:cs="Corbel"/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widowControl w:val="0"/>
              <w:snapToGrid w:val="0"/>
              <w:spacing w:after="0" w:line="300" w:lineRule="atLeast"/>
              <w:rPr>
                <w:sz w:val="20"/>
                <w:szCs w:val="20"/>
              </w:rPr>
            </w:pPr>
            <w:r>
              <w:rPr>
                <w:rFonts w:ascii="Calibri;sans-serif" w:eastAsia="Arial" w:hAnsi="Calibri;sans-serif" w:cs="Calibri;sans-serif"/>
                <w:sz w:val="20"/>
                <w:szCs w:val="20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3B2DF3" w:rsidRDefault="003B2DF3">
            <w:pPr>
              <w:widowControl w:val="0"/>
              <w:snapToGrid w:val="0"/>
              <w:rPr>
                <w:sz w:val="20"/>
                <w:szCs w:val="20"/>
              </w:rPr>
            </w:pPr>
          </w:p>
          <w:p w:rsidR="003B2DF3" w:rsidRDefault="006D147A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3B2DF3" w:rsidRDefault="006D147A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lastRenderedPageBreak/>
              <w:t>86-89 - dobry +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:rsidR="003B2DF3" w:rsidRDefault="006D147A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:rsidR="003B2DF3" w:rsidRDefault="003B2DF3">
            <w:pPr>
              <w:pStyle w:val="Tekstpodstawowy"/>
              <w:spacing w:line="300" w:lineRule="atLeast"/>
            </w:pPr>
          </w:p>
          <w:p w:rsidR="003B2DF3" w:rsidRDefault="003B2DF3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:rsidR="003B2DF3" w:rsidRDefault="006D147A">
            <w:pPr>
              <w:pStyle w:val="Tekstpodstawowy"/>
              <w:widowControl w:val="0"/>
              <w:spacing w:after="0" w:line="300" w:lineRule="atLeast"/>
              <w:rPr>
                <w:rFonts w:ascii="Arial" w:eastAsia="Arial" w:hAnsi="Arial" w:cs="Arial"/>
                <w:sz w:val="20"/>
              </w:rPr>
            </w:pPr>
            <w:r>
              <w:rPr>
                <w:rFonts w:ascii="Calibri;sans-serif" w:eastAsia="Arial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eastAsia="Arial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eastAsia="Arial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 (15+15)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40 (lektury)</w:t>
            </w:r>
          </w:p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 (ćwiczenia)</w:t>
            </w:r>
          </w:p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25 (przygotowanie projektu/scenariusza/obserwacji)</w:t>
            </w:r>
          </w:p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(analiza projektu/scenariusza/obserwacji)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120</w:t>
            </w:r>
          </w:p>
        </w:tc>
      </w:tr>
      <w:tr w:rsidR="003B2DF3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:rsidR="003B2DF3" w:rsidRDefault="006D147A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3B2DF3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B2DF3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3B2DF3" w:rsidRDefault="003B2DF3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3B2DF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snapToGrid w:val="0"/>
            </w:pPr>
            <w:r>
              <w:rPr>
                <w:rFonts w:ascii="Arial" w:eastAsia="Arial" w:hAnsi="Arial" w:cs="Arial"/>
                <w:i/>
                <w:sz w:val="20"/>
              </w:rPr>
              <w:t>Geertz C., Interpretacje kultur. Wybrane eseje</w:t>
            </w:r>
            <w:r>
              <w:rPr>
                <w:rFonts w:ascii="Arial" w:eastAsia="Arial" w:hAnsi="Arial" w:cs="Arial"/>
                <w:sz w:val="20"/>
              </w:rPr>
              <w:t>, cz. I, s. 17 – 48; cz. II, r. 1; cz. III, r. 5; cz. IV, r. 8.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Geertz C., </w:t>
            </w:r>
            <w:r>
              <w:rPr>
                <w:rFonts w:ascii="Arial" w:eastAsia="Arial" w:hAnsi="Arial" w:cs="Arial"/>
                <w:i/>
                <w:sz w:val="20"/>
              </w:rPr>
              <w:t>Zastane światło.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O założeniach interpretacji antropologicznej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>Zrozumieć innego. Antropologia racjonalności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Goffmann E.,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 Człowiek w teatrze życia codziennego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Goffmann E., </w:t>
            </w:r>
            <w:r>
              <w:rPr>
                <w:rFonts w:ascii="Arial" w:eastAsia="Arial" w:hAnsi="Arial" w:cs="Arial"/>
                <w:i/>
                <w:sz w:val="20"/>
              </w:rPr>
              <w:t>Piętno. Esej o zranionej tożsamości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Gray J. </w:t>
            </w:r>
            <w:r>
              <w:rPr>
                <w:rFonts w:ascii="Arial" w:eastAsia="Arial" w:hAnsi="Arial" w:cs="Arial"/>
                <w:i/>
                <w:sz w:val="20"/>
              </w:rPr>
              <w:t>Słomiane psy.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Winkin Y., </w:t>
            </w:r>
            <w:r>
              <w:rPr>
                <w:rFonts w:ascii="Arial" w:eastAsia="Arial" w:hAnsi="Arial" w:cs="Arial"/>
                <w:i/>
                <w:sz w:val="20"/>
              </w:rPr>
              <w:t>Antropologia komunikacji: od teorii do badań terenowych.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Berger P.L., Luckmann Th., </w:t>
            </w:r>
            <w:r>
              <w:rPr>
                <w:rFonts w:ascii="Arial" w:eastAsia="Arial" w:hAnsi="Arial" w:cs="Arial"/>
                <w:i/>
                <w:sz w:val="20"/>
              </w:rPr>
              <w:t>Społeczne tworzenie rzeczywistości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Turner V., Bruner E.M., </w:t>
            </w:r>
            <w:r>
              <w:rPr>
                <w:rFonts w:ascii="Arial" w:eastAsia="Arial" w:hAnsi="Arial" w:cs="Arial"/>
                <w:i/>
                <w:sz w:val="20"/>
              </w:rPr>
              <w:t>Antropologia doświadczednia z epilogiem Clifforda Geertza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Tokarska – Bakir J., </w:t>
            </w:r>
            <w:r>
              <w:rPr>
                <w:rFonts w:ascii="Arial" w:eastAsia="Arial" w:hAnsi="Arial" w:cs="Arial"/>
                <w:i/>
                <w:sz w:val="20"/>
              </w:rPr>
              <w:t>Rzeczy mgliste</w:t>
            </w:r>
            <w:r>
              <w:rPr>
                <w:rFonts w:ascii="Arial" w:eastAsia="Arial" w:hAnsi="Arial" w:cs="Arial"/>
                <w:sz w:val="20"/>
              </w:rPr>
              <w:t>, s. 95 – 115; 168 – 190; 210 – 216.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Jahoda G., </w:t>
            </w:r>
            <w:r>
              <w:rPr>
                <w:rFonts w:ascii="Arial" w:eastAsia="Arial" w:hAnsi="Arial" w:cs="Arial"/>
                <w:i/>
                <w:sz w:val="20"/>
              </w:rPr>
              <w:t>Psychologia przesądu</w:t>
            </w:r>
            <w:r>
              <w:rPr>
                <w:rFonts w:ascii="Arial" w:eastAsia="Arial" w:hAnsi="Arial" w:cs="Arial"/>
                <w:sz w:val="20"/>
              </w:rPr>
              <w:t>, r. IV, r. VI – X.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Xxxxx, </w:t>
            </w:r>
            <w:r>
              <w:rPr>
                <w:rFonts w:ascii="Arial" w:eastAsia="Arial" w:hAnsi="Arial" w:cs="Arial"/>
                <w:i/>
                <w:sz w:val="20"/>
              </w:rPr>
              <w:t>Psychologia plotki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Eco U., </w:t>
            </w:r>
            <w:r>
              <w:rPr>
                <w:rFonts w:ascii="Arial" w:eastAsia="Arial" w:hAnsi="Arial" w:cs="Arial"/>
                <w:i/>
                <w:sz w:val="20"/>
              </w:rPr>
              <w:t>Semiotyka życia codziennego.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2509"/>
              </w:tabs>
            </w:pPr>
            <w:r>
              <w:rPr>
                <w:rFonts w:ascii="Arial" w:eastAsia="Arial" w:hAnsi="Arial" w:cs="Arial"/>
                <w:sz w:val="20"/>
              </w:rPr>
              <w:t xml:space="preserve">Žižek S.,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Cztery dyskursy, cztery podmioty </w:t>
            </w:r>
            <w:r>
              <w:rPr>
                <w:rFonts w:ascii="Arial" w:eastAsia="Arial" w:hAnsi="Arial" w:cs="Arial"/>
                <w:sz w:val="20"/>
              </w:rPr>
              <w:t>(w:) Żiżek, Przewodnik “Krytyki Politycznej”.</w:t>
            </w:r>
          </w:p>
          <w:p w:rsidR="003B2DF3" w:rsidRDefault="006D147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229"/>
              </w:tabs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" w:eastAsia="Arial" w:hAnsi="Arial" w:cs="Arial"/>
                <w:i/>
                <w:sz w:val="20"/>
                <w:szCs w:val="24"/>
              </w:rPr>
              <w:t>Żiżek S., Przekleństwo fantazji, r. I, r. III – IV</w:t>
            </w:r>
            <w:r>
              <w:rPr>
                <w:rFonts w:ascii="Arial" w:eastAsia="Arial" w:hAnsi="Arial" w:cs="Arial"/>
                <w:sz w:val="20"/>
                <w:szCs w:val="24"/>
              </w:rPr>
              <w:t>.</w:t>
            </w: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3B2DF3" w:rsidRDefault="003B2DF3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3B2DF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3B2DF3" w:rsidRDefault="003B2DF3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B2DF3" w:rsidRDefault="006D147A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tradycyjne i multimedialne materiały pomocnicze udostępniane wedle potrzeb na platformie edukacyjnej online</w:t>
            </w:r>
          </w:p>
        </w:tc>
      </w:tr>
    </w:tbl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3B2DF3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B2DF3" w:rsidRDefault="006D147A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B2DF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595" w:rsidRDefault="00873595">
      <w:pPr>
        <w:spacing w:after="0" w:line="240" w:lineRule="auto"/>
      </w:pPr>
      <w:r>
        <w:separator/>
      </w:r>
    </w:p>
  </w:endnote>
  <w:endnote w:type="continuationSeparator" w:id="0">
    <w:p w:rsidR="00873595" w:rsidRDefault="0087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Arial CE">
    <w:altName w:val="Arial"/>
    <w:panose1 w:val="020B0604020202020204"/>
    <w:charset w:val="01"/>
    <w:family w:val="roman"/>
    <w:pitch w:val="variable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595" w:rsidRDefault="00873595">
      <w:pPr>
        <w:rPr>
          <w:sz w:val="12"/>
        </w:rPr>
      </w:pPr>
      <w:r>
        <w:separator/>
      </w:r>
    </w:p>
  </w:footnote>
  <w:footnote w:type="continuationSeparator" w:id="0">
    <w:p w:rsidR="00873595" w:rsidRDefault="00873595">
      <w:pPr>
        <w:rPr>
          <w:sz w:val="12"/>
        </w:rPr>
      </w:pPr>
      <w:r>
        <w:continuationSeparator/>
      </w:r>
    </w:p>
  </w:footnote>
  <w:footnote w:id="1">
    <w:p w:rsidR="003B2DF3" w:rsidRDefault="006D147A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3B2DF3" w:rsidRDefault="006D147A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D01FD"/>
    <w:multiLevelType w:val="multilevel"/>
    <w:tmpl w:val="05A03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51B74"/>
    <w:multiLevelType w:val="multilevel"/>
    <w:tmpl w:val="F3D0323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302E7EBB"/>
    <w:multiLevelType w:val="multilevel"/>
    <w:tmpl w:val="4DBA2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0916026"/>
    <w:multiLevelType w:val="multilevel"/>
    <w:tmpl w:val="9AFC2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DF3"/>
    <w:rsid w:val="000D6880"/>
    <w:rsid w:val="003521E8"/>
    <w:rsid w:val="003B2DF3"/>
    <w:rsid w:val="006D147A"/>
    <w:rsid w:val="007A4793"/>
    <w:rsid w:val="00873595"/>
    <w:rsid w:val="00B4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79411-2BA5-469B-B84C-C3DC6608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WW8Num5z0">
    <w:name w:val="WW8Num5z0"/>
    <w:qFormat/>
  </w:style>
  <w:style w:type="character" w:customStyle="1" w:styleId="WW8Num3z0">
    <w:name w:val="WW8Num3z0"/>
    <w:qFormat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1525</Words>
  <Characters>9151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Instytut Filozofii</cp:lastModifiedBy>
  <cp:revision>15</cp:revision>
  <cp:lastPrinted>2019-02-06T12:12:00Z</cp:lastPrinted>
  <dcterms:created xsi:type="dcterms:W3CDTF">2023-10-02T12:20:00Z</dcterms:created>
  <dcterms:modified xsi:type="dcterms:W3CDTF">2024-10-10T07:12:00Z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